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22B" w:rsidRDefault="00EA6A45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color w:val="C55911"/>
        </w:rPr>
        <w:t>ACT Services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101600</wp:posOffset>
                </wp:positionV>
                <wp:extent cx="487045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0775" y="3780000"/>
                          <a:ext cx="4870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101600</wp:posOffset>
                </wp:positionV>
                <wp:extent cx="48704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0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4522B" w:rsidRDefault="00EA6A45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Assertive Community Treatment (ACT) is a team-based, wrap-around service model that provides intensive services within the community.  An ACT team is a multidisciplinary group of professionals, such as a therapist, psychiatrist, nurse, case manager, peer s</w:t>
      </w:r>
      <w:r>
        <w:rPr>
          <w:rFonts w:ascii="Calibri" w:eastAsia="Calibri" w:hAnsi="Calibri" w:cs="Calibri"/>
        </w:rPr>
        <w:t>upport specialist, and vocational counselor.  Members from the team individually meet with the client at home, at a job site, at a school, or any other place in the community, several times per week to support the client in addressing multiple dimensions o</w:t>
      </w:r>
      <w:r>
        <w:rPr>
          <w:rFonts w:ascii="Calibri" w:eastAsia="Calibri" w:hAnsi="Calibri" w:cs="Calibri"/>
        </w:rPr>
        <w:t xml:space="preserve">f mental health.  ACT services also include a crisis line the client may call 24/7 to </w:t>
      </w:r>
      <w:proofErr w:type="gramStart"/>
      <w:r>
        <w:rPr>
          <w:rFonts w:ascii="Calibri" w:eastAsia="Calibri" w:hAnsi="Calibri" w:cs="Calibri"/>
        </w:rPr>
        <w:t>be connected with</w:t>
      </w:r>
      <w:proofErr w:type="gramEnd"/>
      <w:r>
        <w:rPr>
          <w:rFonts w:ascii="Calibri" w:eastAsia="Calibri" w:hAnsi="Calibri" w:cs="Calibri"/>
        </w:rPr>
        <w:t xml:space="preserve"> one of the providers on the client’s assigned team.  This service is a wonderful option for clients who have previously been on or are in danger of bein</w:t>
      </w:r>
      <w:r>
        <w:rPr>
          <w:rFonts w:ascii="Calibri" w:eastAsia="Calibri" w:hAnsi="Calibri" w:cs="Calibri"/>
        </w:rPr>
        <w:t xml:space="preserve">g on civil commitment, who have had successive psychiatric hospitalizations, who have had legal issues related to declining mental health, or who have housing instability related to chronic mental health challenges. </w:t>
      </w:r>
    </w:p>
    <w:p w:rsidR="0094522B" w:rsidRDefault="00EA6A45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be eligible for ACT services, a pers</w:t>
      </w:r>
      <w:r>
        <w:rPr>
          <w:rFonts w:ascii="Calibri" w:eastAsia="Calibri" w:hAnsi="Calibri" w:cs="Calibri"/>
        </w:rPr>
        <w:t xml:space="preserve">on must be enrolled in a MN Health Care Program (such as Medical Assistance).  Additionally, the person must be 18+ years old and have a primary diagnosis of one of the following: schizophrenia, schizoaffective disorder, bipolar disorder, major depressive </w:t>
      </w:r>
      <w:r>
        <w:rPr>
          <w:rFonts w:ascii="Calibri" w:eastAsia="Calibri" w:hAnsi="Calibri" w:cs="Calibri"/>
        </w:rPr>
        <w:t>disorder with psychotic features, or another psychotic disorder.</w:t>
      </w:r>
    </w:p>
    <w:p w:rsidR="0094522B" w:rsidRDefault="00EA6A45">
      <w:pPr>
        <w:spacing w:before="240" w:after="240" w:line="240" w:lineRule="auto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More detailed information about ACT services can be found at the MN Department of Human Services website: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https://mn.gov/dhs/partners-and-providers/policies-procedures/adult-mental-health/assertive-community-treatment/</w:t>
        </w:r>
      </w:hyperlink>
    </w:p>
    <w:p w:rsidR="0094522B" w:rsidRDefault="00EA6A45">
      <w:pPr>
        <w:spacing w:before="240" w:after="240" w:line="240" w:lineRule="auto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Below is an incomplete list of ACT services in the twin cities</w:t>
      </w:r>
      <w:r>
        <w:rPr>
          <w:rFonts w:ascii="Calibri" w:eastAsia="Calibri" w:hAnsi="Calibri" w:cs="Calibri"/>
        </w:rPr>
        <w:t xml:space="preserve"> metro area:</w:t>
      </w:r>
    </w:p>
    <w:p w:rsidR="0094522B" w:rsidRDefault="00EA6A45" w:rsidP="00B91EA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Re-Entry House ACT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2021 E Hennepin Ave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#330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55413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(612) 435-7208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0563C1"/>
            <w:u w:val="single"/>
          </w:rPr>
          <w:t>https://reentryhouse.org/treatment-and-programs/community-treatment-tea</w:t>
        </w:r>
        <w:r>
          <w:rPr>
            <w:rFonts w:ascii="Calibri" w:eastAsia="Calibri" w:hAnsi="Calibri" w:cs="Calibri"/>
            <w:color w:val="0563C1"/>
            <w:u w:val="single"/>
          </w:rPr>
          <w:t>m/</w:t>
        </w:r>
      </w:hyperlink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EA6A45" w:rsidP="00B91EA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People, Incorporated ACT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1170 15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Ave SE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55414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(651) 465-0105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color w:val="0563C1"/>
            <w:u w:val="single"/>
          </w:rPr>
          <w:t>https://www.peopleincorporated.org/adult-assertive-community-treatment/</w:t>
        </w:r>
      </w:hyperlink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EA6A45" w:rsidP="00B91EA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Mental Health Resources (MHR) ACT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2105 Minnehaha Ave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</w:t>
      </w:r>
      <w:r>
        <w:rPr>
          <w:rFonts w:ascii="Calibri" w:eastAsia="Calibri" w:hAnsi="Calibri" w:cs="Calibri"/>
        </w:rPr>
        <w:t>olis, MN 55404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(612) 333-0331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563C1"/>
            <w:u w:val="single"/>
          </w:rPr>
          <w:t>http://www.mhresources.org/assertive-community-treatment-teams</w:t>
        </w:r>
      </w:hyperlink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B91EA9" w:rsidRDefault="00B91EA9">
      <w:pPr>
        <w:spacing w:line="240" w:lineRule="auto"/>
        <w:rPr>
          <w:rFonts w:ascii="Calibri" w:eastAsia="Calibri" w:hAnsi="Calibri" w:cs="Calibri"/>
        </w:rPr>
      </w:pPr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EA6A45" w:rsidP="00B91EA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Radias</w:t>
      </w:r>
      <w:proofErr w:type="spellEnd"/>
      <w:r>
        <w:rPr>
          <w:rFonts w:ascii="Calibri" w:eastAsia="Calibri" w:hAnsi="Calibri" w:cs="Calibri"/>
          <w:b/>
        </w:rPr>
        <w:t xml:space="preserve"> Health ACT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2021 E Hennepin Ave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#330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55413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(612) 435-7207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hyperlink r:id="rId11">
        <w:r>
          <w:rPr>
            <w:rFonts w:ascii="Calibri" w:eastAsia="Calibri" w:hAnsi="Calibri" w:cs="Calibri"/>
            <w:color w:val="0563C1"/>
            <w:u w:val="single"/>
          </w:rPr>
          <w:t>https://radiashealth.org/programs-and-services/behaviora</w:t>
        </w:r>
        <w:r>
          <w:rPr>
            <w:rFonts w:ascii="Calibri" w:eastAsia="Calibri" w:hAnsi="Calibri" w:cs="Calibri"/>
            <w:color w:val="0563C1"/>
            <w:u w:val="single"/>
          </w:rPr>
          <w:t>l-health-services-case-management/assertive-community-treatment/</w:t>
        </w:r>
      </w:hyperlink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94522B">
      <w:pPr>
        <w:spacing w:line="240" w:lineRule="auto"/>
        <w:rPr>
          <w:rFonts w:ascii="Calibri" w:eastAsia="Calibri" w:hAnsi="Calibri" w:cs="Calibri"/>
        </w:rPr>
      </w:pPr>
    </w:p>
    <w:p w:rsidR="0094522B" w:rsidRDefault="00EA6A45" w:rsidP="00B91EA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SpringPath</w:t>
      </w:r>
      <w:proofErr w:type="spellEnd"/>
      <w:r>
        <w:rPr>
          <w:rFonts w:ascii="Calibri" w:eastAsia="Calibri" w:hAnsi="Calibri" w:cs="Calibri"/>
          <w:b/>
        </w:rPr>
        <w:t xml:space="preserve"> ACT (formerly </w:t>
      </w:r>
      <w:proofErr w:type="spellStart"/>
      <w:r>
        <w:rPr>
          <w:rFonts w:ascii="Calibri" w:eastAsia="Calibri" w:hAnsi="Calibri" w:cs="Calibri"/>
          <w:b/>
        </w:rPr>
        <w:t>Rescare</w:t>
      </w:r>
      <w:proofErr w:type="spellEnd"/>
      <w:r>
        <w:rPr>
          <w:rFonts w:ascii="Calibri" w:eastAsia="Calibri" w:hAnsi="Calibri" w:cs="Calibri"/>
          <w:b/>
        </w:rPr>
        <w:t>)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6120 Earle Brown Dr.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Suite 100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Brooklyn Center, MN 55430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(763) 736-6612</w:t>
      </w:r>
    </w:p>
    <w:p w:rsidR="0094522B" w:rsidRDefault="00EA6A45">
      <w:pPr>
        <w:spacing w:line="240" w:lineRule="auto"/>
        <w:rPr>
          <w:rFonts w:ascii="Calibri" w:eastAsia="Calibri" w:hAnsi="Calibri" w:cs="Calibri"/>
        </w:rPr>
      </w:pPr>
      <w:hyperlink r:id="rId12">
        <w:r>
          <w:rPr>
            <w:rFonts w:ascii="Calibri" w:eastAsia="Calibri" w:hAnsi="Calibri" w:cs="Calibri"/>
            <w:color w:val="0563C1"/>
            <w:u w:val="single"/>
          </w:rPr>
          <w:t>https://springpathmentalhealth.com/locations/</w:t>
        </w:r>
      </w:hyperlink>
    </w:p>
    <w:p w:rsidR="0094522B" w:rsidRDefault="0094522B"/>
    <w:sectPr w:rsidR="009452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5AED"/>
    <w:multiLevelType w:val="multilevel"/>
    <w:tmpl w:val="E5EEA0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521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2B"/>
    <w:rsid w:val="0094522B"/>
    <w:rsid w:val="00B91EA9"/>
    <w:rsid w:val="00E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221E"/>
  <w15:docId w15:val="{89C2602F-3981-4827-926E-D94FCFE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ntryhouse.org/treatment-and-programs/community-treatment-tea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n.gov/dhs/partners-and-providers/policies-procedures/adult-mental-health/assertive-community-treatment/" TargetMode="External"/><Relationship Id="rId12" Type="http://schemas.openxmlformats.org/officeDocument/2006/relationships/hyperlink" Target="https://springpathmentalhealth.com/lo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adiashealth.org/programs-and-services/behavioral-health-services-case-management/assertive-community-treatment/" TargetMode="External"/><Relationship Id="rId10" Type="http://schemas.openxmlformats.org/officeDocument/2006/relationships/hyperlink" Target="http://www.mhresources.org/assertive-community-treatment-tea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opleincorporated.org/adult-assertive-community-treatm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H</cp:lastModifiedBy>
  <cp:revision>3</cp:revision>
  <dcterms:created xsi:type="dcterms:W3CDTF">2023-06-27T01:54:00Z</dcterms:created>
  <dcterms:modified xsi:type="dcterms:W3CDTF">2023-06-27T02:42:00Z</dcterms:modified>
</cp:coreProperties>
</file>